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Times New Roman"/>
          <w:color w:val="000000"/>
        </w:rPr>
      </w:pPr>
      <w:r>
        <w:rPr>
          <w:rFonts w:eastAsia="Times New Roman" w:cs="Times New Roman" w:ascii="Arial" w:hAnsi="Arial"/>
          <w:color w:val="000000"/>
        </w:rPr>
      </w:r>
    </w:p>
    <w:p>
      <w:pPr>
        <w:pStyle w:val="Normal"/>
        <w:spacing w:lineRule="auto" w:line="240" w:before="0" w:after="0"/>
        <w:rPr/>
      </w:pPr>
      <w:r>
        <w:rPr>
          <w:rFonts w:eastAsia="Times New Roman" w:cs="Times New Roman" w:ascii="Arial" w:hAnsi="Arial"/>
          <w:b/>
          <w:bCs/>
          <w:color w:val="000000"/>
          <w:sz w:val="24"/>
          <w:szCs w:val="24"/>
        </w:rPr>
        <w:t>RESOLUÇÃO CSDP Nº 172, DE 07 DE NOVEMBRO DE 2016.</w:t>
      </w:r>
    </w:p>
    <w:p>
      <w:pPr>
        <w:pStyle w:val="Normal"/>
        <w:spacing w:lineRule="auto" w:line="240" w:before="0" w:after="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Web"/>
        <w:widowControl/>
        <w:bidi w:val="0"/>
        <w:spacing w:lineRule="auto" w:line="240" w:beforeAutospacing="0" w:before="0" w:afterAutospacing="0" w:after="0"/>
        <w:ind w:left="4252" w:right="0" w:hanging="0"/>
        <w:jc w:val="both"/>
        <w:rPr/>
      </w:pPr>
      <w:r>
        <w:rPr>
          <w:rFonts w:eastAsia="Times New Roman" w:cs="Times New Roman" w:ascii="Arial" w:hAnsi="Arial"/>
          <w:color w:val="000000"/>
          <w:sz w:val="24"/>
          <w:szCs w:val="24"/>
        </w:rPr>
        <w:t>Distribui os 350 (trezentos e cinquenta), cargos de Defensor Público e as Defensorias Públicas, consolida Resoluções anteriores, e</w:t>
      </w:r>
      <w:r>
        <w:rPr>
          <w:rFonts w:cs="Arial" w:ascii="Arial" w:hAnsi="Arial"/>
        </w:rPr>
        <w:t>xtingue, cria, renomeia e renumera cargos.</w:t>
      </w:r>
    </w:p>
    <w:p>
      <w:pPr>
        <w:pStyle w:val="NormalWeb"/>
        <w:widowControl/>
        <w:bidi w:val="0"/>
        <w:spacing w:lineRule="auto" w:line="240" w:beforeAutospacing="0" w:before="0" w:afterAutospacing="0" w:after="0"/>
        <w:ind w:left="4252" w:right="0" w:hanging="0"/>
        <w:jc w:val="both"/>
        <w:rPr>
          <w:rFonts w:ascii="Arial" w:hAnsi="Arial" w:cs="Arial"/>
        </w:rPr>
      </w:pPr>
      <w:r>
        <w:rPr>
          <w:rFonts w:cs="Arial" w:ascii="Arial" w:hAnsi="Arial"/>
        </w:rPr>
      </w:r>
    </w:p>
    <w:p>
      <w:pPr>
        <w:pStyle w:val="Normal"/>
        <w:spacing w:lineRule="auto" w:line="240" w:before="0" w:after="0"/>
        <w:ind w:hanging="0"/>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pPr>
      <w:r>
        <w:rPr>
          <w:rFonts w:cs="Arial" w:ascii="Arial" w:hAnsi="Arial"/>
          <w:b w:val="false"/>
          <w:bCs w:val="false"/>
          <w:sz w:val="24"/>
          <w:szCs w:val="24"/>
        </w:rPr>
        <w:t>O CONSELHO SUPERIOR DA DEFENSORIA PÚBLICA DO ESTADO DO PARÁ, no uso de suas atribuições legais, com base no poder normativo que lhe foi conferido pelo art. 102 da Lei Complementar Federal n.º 80/94 e art. 10, da Lei Complementar Estadual n.º 054/2006;</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b w:val="false"/>
          <w:b w:val="false"/>
          <w:bCs w:val="false"/>
        </w:rPr>
      </w:pPr>
      <w:r>
        <w:rPr>
          <w:rFonts w:cs="Arial" w:ascii="Arial" w:hAnsi="Arial"/>
          <w:b w:val="false"/>
          <w:bCs w:val="false"/>
          <w:sz w:val="24"/>
          <w:szCs w:val="24"/>
        </w:rPr>
        <w:t xml:space="preserve">CONSIDERANDO a entrada em vigor da Lei Complementar 091, de 14 de janeiro de 2014, que alterou a Lei Complementar 054/2006, especialmente a inteligência dos arts. 14, 17 e 85 do referido diploma legal; </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b w:val="false"/>
          <w:b w:val="false"/>
          <w:bCs w:val="false"/>
        </w:rPr>
      </w:pPr>
      <w:r>
        <w:rPr>
          <w:rFonts w:cs="Arial" w:ascii="Arial" w:hAnsi="Arial"/>
          <w:b w:val="false"/>
          <w:bCs w:val="false"/>
          <w:sz w:val="24"/>
          <w:szCs w:val="24"/>
        </w:rPr>
        <w:t>CONSIDERANDO a necessidade de organizar e racionalizar a distribuição das Defensorias Públicas neste Estado, bem como de realizar a promoção e remoção da carreira em todas as entrâncias, adequando e otimizando a atuação desta instituição no Estado do Pará;</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b w:val="false"/>
          <w:b w:val="false"/>
          <w:bCs w:val="false"/>
        </w:rPr>
      </w:pPr>
      <w:r>
        <w:rPr>
          <w:rFonts w:cs="Arial" w:ascii="Arial" w:hAnsi="Arial"/>
          <w:b w:val="false"/>
          <w:bCs w:val="false"/>
          <w:sz w:val="24"/>
          <w:szCs w:val="24"/>
        </w:rPr>
        <w:t>CONSIDERANDO o estudo da Corregedoria Geral das Resoluções que distribuem as Defensorias Públicas em todas suas categorias, criando o lotacionograma das Defensorias Públicas em todo o Estado;</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b w:val="false"/>
          <w:b w:val="false"/>
          <w:bCs w:val="false"/>
        </w:rPr>
      </w:pPr>
      <w:r>
        <w:rPr>
          <w:rFonts w:cs="Arial" w:ascii="Arial" w:hAnsi="Arial"/>
          <w:b w:val="false"/>
          <w:bCs w:val="false"/>
          <w:sz w:val="24"/>
          <w:szCs w:val="24"/>
        </w:rPr>
        <w:t>CONSIDERANDO a imperiosa necessidade de adaptar a estrutura orgânica da Defensoria Pública de modo a instrumentalizá-la para uma eficaz concretização de sua missão institucional em todo o território paraense;</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pPr>
      <w:r>
        <w:rPr>
          <w:rFonts w:cs="Arial" w:ascii="Arial" w:hAnsi="Arial"/>
          <w:b w:val="false"/>
          <w:bCs w:val="false"/>
          <w:sz w:val="24"/>
          <w:szCs w:val="24"/>
        </w:rPr>
        <w:t>CONSIDERANDO a Res</w:t>
      </w:r>
      <w:r>
        <w:rPr>
          <w:rFonts w:cs="Arial" w:ascii="Arial" w:hAnsi="Arial"/>
          <w:sz w:val="24"/>
          <w:szCs w:val="24"/>
        </w:rPr>
        <w:t>olução CSDP nº 140, de 01 de outubro de 2014, que definiu o quantitativo de Defensorias Públicas por entrância, sendo 20 Defensorias de Entrância Especial, 138 Defensorias de terceira entrância, 110 Defensorias de segunda entrância, 64 Defensorias de primeira entrância e 18 defensorias de substituição;</w:t>
      </w:r>
    </w:p>
    <w:p>
      <w:pPr>
        <w:pStyle w:val="Normal"/>
        <w:spacing w:lineRule="auto" w:line="240" w:before="0" w:after="0"/>
        <w:ind w:firstLine="1418"/>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pPr>
      <w:r>
        <w:rPr>
          <w:rFonts w:cs="Arial" w:ascii="Arial" w:hAnsi="Arial"/>
          <w:b w:val="false"/>
          <w:bCs w:val="false"/>
          <w:sz w:val="24"/>
          <w:szCs w:val="24"/>
        </w:rPr>
        <w:t>CONSIDERANDO</w:t>
      </w:r>
      <w:r>
        <w:rPr>
          <w:rFonts w:cs="Arial" w:ascii="Arial" w:hAnsi="Arial"/>
          <w:b/>
          <w:sz w:val="24"/>
          <w:szCs w:val="24"/>
        </w:rPr>
        <w:t xml:space="preserve"> </w:t>
      </w:r>
      <w:r>
        <w:rPr>
          <w:rFonts w:cs="Arial" w:ascii="Arial" w:hAnsi="Arial"/>
          <w:sz w:val="24"/>
          <w:szCs w:val="24"/>
        </w:rPr>
        <w:t>que as últimas resoluções que alteraram as Defensorias Públicas extinguiram tacitamente algumas Defensorias Públicas, as quais nunca deixaram de existir de fato, inclusive encontrando-se providas com Defensores Públicos, conforme certame público e aberto à participação de toda a carreira, sem prejuízo à antiguidade dos membros;</w:t>
      </w:r>
    </w:p>
    <w:p>
      <w:pPr>
        <w:pStyle w:val="Normal"/>
        <w:spacing w:lineRule="auto" w:line="240" w:before="0" w:after="0"/>
        <w:ind w:hanging="0"/>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pPr>
      <w:r>
        <w:rPr>
          <w:rFonts w:eastAsia="Times New Roman" w:cs="Times New Roman" w:ascii="Arial" w:hAnsi="Arial"/>
          <w:color w:val="000000"/>
          <w:sz w:val="24"/>
          <w:szCs w:val="24"/>
        </w:rPr>
        <w:t>CONSIDERANDO a deliberação unânime do Egrégio Conselho Superior da Defensoria Pública na 131ª Sessão Ordinária, realizada no dia 07 de novembro de 2016;</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Web"/>
        <w:spacing w:lineRule="auto" w:line="240" w:beforeAutospacing="0" w:before="0" w:afterAutospacing="0" w:after="0"/>
        <w:ind w:hanging="0"/>
        <w:jc w:val="both"/>
        <w:rPr>
          <w:b w:val="false"/>
          <w:b w:val="false"/>
          <w:bCs w:val="false"/>
        </w:rPr>
      </w:pPr>
      <w:r>
        <w:rPr>
          <w:rFonts w:cs="Arial" w:ascii="Arial" w:hAnsi="Arial"/>
          <w:b w:val="false"/>
          <w:bCs w:val="false"/>
        </w:rPr>
        <w:t xml:space="preserve">RESOLVE: </w:t>
      </w:r>
    </w:p>
    <w:p>
      <w:pPr>
        <w:pStyle w:val="NormalWeb"/>
        <w:spacing w:lineRule="auto" w:line="240" w:beforeAutospacing="0" w:before="0" w:afterAutospacing="0" w:after="0"/>
        <w:ind w:firstLine="1418"/>
        <w:jc w:val="both"/>
        <w:rPr>
          <w:rFonts w:ascii="Arial" w:hAnsi="Arial" w:cs="Arial"/>
          <w:b w:val="false"/>
          <w:b w:val="false"/>
          <w:bCs w:val="false"/>
        </w:rPr>
      </w:pPr>
      <w:r>
        <w:rPr>
          <w:rFonts w:cs="Arial" w:ascii="Arial" w:hAnsi="Arial"/>
          <w:b w:val="false"/>
          <w:bCs w:val="false"/>
        </w:rPr>
      </w:r>
    </w:p>
    <w:p>
      <w:pPr>
        <w:pStyle w:val="Normal"/>
        <w:spacing w:lineRule="auto" w:line="240" w:before="0" w:after="0"/>
        <w:jc w:val="both"/>
        <w:rPr/>
      </w:pPr>
      <w:r>
        <w:rPr>
          <w:rFonts w:eastAsia="Times New Roman" w:cs="Times New Roman" w:ascii="Arial" w:hAnsi="Arial"/>
          <w:color w:val="000000"/>
          <w:sz w:val="24"/>
          <w:szCs w:val="24"/>
        </w:rPr>
        <w:t>Art. 1º Esta Resolução distribui os 350 (trezentos e cinquenta) cargos de defensor público e as Defensorias Públicas, consolida as Resoluções anteriores no mesmo sentido, em especial as de número 07/2007, 11/2007, 35/2008, 46/2009, 64/2010, 72/2011, 73/2011, 86/2011, 97/2012, 105/2012, 109/2012, 112/2013, 122/2014, 129/2014, 134/2014, 136/2014 e 140/2014, extingue, cria, renomeia e renumera cargos.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2º Ficam extintas a 1ª, a 2ª, a 5ª e a 7ª Defensorias Públicas Cíveis da Entrância Especial.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3º A 6ª Defensoria Pública Cível da Entrância Especial fica renomeada para 1ª Defensoria Pública Cível da Entrância Especial.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4º A 8ª Defensoria Pública Cível da Entrância Especial fica renomeada para 2ª Defensoria Pública Cível da Entrância Especial.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5º Fica extinta a 10ª Defensoria Pública de Relação de Consumo.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6º Fica extinta a 1ª Defensoria Pública de Santo Antônio do Tauá.</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7º Fica extinta a 1ª Defensoria Pública de Inhangapi.</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8º Fica extinta a 1ª Defensoria Pública de Bonito.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9º Fica extinta a 1ª Defensoria Pública de Nova Timboteua.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10 Fica extinta a 1ª Defensoria Pública de Chaves.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11. Fica extinta a 1ª Defensoria Pública de Curralinho.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12. Fica extinta a 1ª Defensoria Pública de Santa Cruz do Arari.</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13. Fica extinta a 1ª Defensoria Pública de Aveiro.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14. Fica extinta a 5ª Defensoria Pública Criminal do Juízo Singular.</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15. Fica extinta a 1ª Defensoria Pública de Flagrantes.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16. Fica extinta a 8ª Defensoria Pública dos Juizados Especiais Cíveis.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17. Fica extinta a 4ª Defensoria Pública dos Juizados Especiais Cíveis.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18. As Defensorias Públicas mencionadas no inciso XI do artigo 3º da Resolução n. 35/2008 do Conselho Superior da Defensoria Pública do Estado do Pará ficam renomeadas da seguinte forma:</w:t>
      </w:r>
    </w:p>
    <w:p>
      <w:pPr>
        <w:pStyle w:val="Normal"/>
        <w:spacing w:lineRule="auto" w:line="240" w:before="0" w:after="0"/>
        <w:jc w:val="both"/>
        <w:rPr/>
      </w:pPr>
      <w:r>
        <w:rPr>
          <w:rFonts w:eastAsia="Times New Roman" w:cs="Times New Roman" w:ascii="Arial" w:hAnsi="Arial"/>
          <w:color w:val="000000"/>
          <w:sz w:val="24"/>
          <w:szCs w:val="24"/>
        </w:rPr>
        <w:t>I - A 2ª Defensoria Pública de Flagrantes passa a se chamar 2ª Defensoria Pública Criminal de Flagrantes e Inquéritos Policiais;</w:t>
      </w:r>
    </w:p>
    <w:p>
      <w:pPr>
        <w:pStyle w:val="Normal"/>
        <w:spacing w:lineRule="auto" w:line="240" w:before="0" w:after="0"/>
        <w:jc w:val="both"/>
        <w:rPr/>
      </w:pPr>
      <w:r>
        <w:rPr>
          <w:rFonts w:eastAsia="Times New Roman" w:cs="Times New Roman" w:ascii="Arial" w:hAnsi="Arial"/>
          <w:color w:val="000000"/>
          <w:sz w:val="24"/>
          <w:szCs w:val="24"/>
        </w:rPr>
        <w:t>II - A 3ª Defensoria Pública de Flagrantes passa a se chamar 3ª Defensoria Pública Criminal de Flagrantes e Inquéritos Policiais;</w:t>
      </w:r>
    </w:p>
    <w:p>
      <w:pPr>
        <w:pStyle w:val="Normal"/>
        <w:spacing w:lineRule="auto" w:line="240" w:before="0" w:after="0"/>
        <w:jc w:val="both"/>
        <w:rPr/>
      </w:pPr>
      <w:r>
        <w:rPr>
          <w:rFonts w:eastAsia="Times New Roman" w:cs="Times New Roman" w:ascii="Arial" w:hAnsi="Arial"/>
          <w:color w:val="000000"/>
          <w:sz w:val="24"/>
          <w:szCs w:val="24"/>
        </w:rPr>
        <w:t>III - A 4ª Defensoria Pública de Flagrantes passa a se chamar 1ª Defensoria Pública Criminal de Flagrantes e Inquéritos Policiais.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19. A 5ª Defensoria Pública dos Juizados Especiais Criminais passa a se chamar 1ª Defensoria Pública dos Juizados Especiais Criminais.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20. A 14ª Defensoria Pública Criminal do Juízo Singular passa a se chamar 5ª Defensoria Pública Criminal.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21. A 15° Defensoria Pública Cível Residual passa a se chamar 5ª Defensoria Cível.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22. A 17° Defensoria Pública Cível Residual passa a se chamar 6ª Defensoria Pública Cível.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23. A 18° Defensoria Pública Cível Residual passa a se chamar 8ª Defensoria Pública Cível.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24. A 7ª Defensoria Pública dos Juizados Especiais Cíveis passa a se chamar 4ª Defensoria Pública dos Juizados Especiais Cíveis.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25. As Defensorias Públicas denominadas de “Cíveis e Criminais” em municípios com apenas uma Defensoria Pública instalada passam a ser denominadas apenas como “Defensorias Públicas”, possuindo atribuição geral.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26. As Defensorias Públicas da capital denominadas de “Defensoria Públicas Criminais do Juízo Singular” passam a ser denominadas apenas como “Defensorias Públicas Criminais”.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27. Fica criada a 5ª Defensoria Pública Criminal de Santarém.</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28. Fica criada a 1ª Defensoria Pública do Distrito de Monte Dourado.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29. Fica criada a 1ª Defensoria Pública de Trairão.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30. Os 350 (trezentos e cinquenta) cargos de defensor público criados pelo artigo 85 da Lei Complementar Estadual nº 054/2006 ficam assim distribuídos nas categorias:</w:t>
      </w:r>
    </w:p>
    <w:p>
      <w:pPr>
        <w:pStyle w:val="Normal"/>
        <w:spacing w:lineRule="auto" w:line="240" w:before="0" w:after="0"/>
        <w:jc w:val="both"/>
        <w:rPr/>
      </w:pPr>
      <w:r>
        <w:rPr>
          <w:rFonts w:eastAsia="Times New Roman" w:cs="Times New Roman" w:ascii="Arial" w:hAnsi="Arial"/>
          <w:color w:val="000000"/>
          <w:sz w:val="24"/>
          <w:szCs w:val="24"/>
        </w:rPr>
        <w:t>I – 19 (dezenove) cargos de Defensor Público Substituto;</w:t>
      </w:r>
    </w:p>
    <w:p>
      <w:pPr>
        <w:pStyle w:val="Normal"/>
        <w:spacing w:lineRule="auto" w:line="240" w:before="0" w:after="0"/>
        <w:jc w:val="both"/>
        <w:rPr/>
      </w:pPr>
      <w:r>
        <w:rPr>
          <w:rFonts w:eastAsia="Times New Roman" w:cs="Times New Roman" w:ascii="Arial" w:hAnsi="Arial"/>
          <w:color w:val="000000"/>
          <w:sz w:val="24"/>
          <w:szCs w:val="24"/>
        </w:rPr>
        <w:t>II – 66 (sessenta e seis) cargos de Defensor Público de 1ª Entrância;</w:t>
      </w:r>
    </w:p>
    <w:p>
      <w:pPr>
        <w:pStyle w:val="Normal"/>
        <w:spacing w:lineRule="auto" w:line="240" w:before="0" w:after="0"/>
        <w:jc w:val="both"/>
        <w:rPr/>
      </w:pPr>
      <w:r>
        <w:rPr>
          <w:rFonts w:eastAsia="Times New Roman" w:cs="Times New Roman" w:ascii="Arial" w:hAnsi="Arial"/>
          <w:color w:val="000000"/>
          <w:sz w:val="24"/>
          <w:szCs w:val="24"/>
        </w:rPr>
        <w:t>III – 115 (cento e quinze) cargos de Defensor Público de 2ª Entrância;</w:t>
      </w:r>
    </w:p>
    <w:p>
      <w:pPr>
        <w:pStyle w:val="Normal"/>
        <w:spacing w:lineRule="auto" w:line="240" w:before="0" w:after="0"/>
        <w:jc w:val="both"/>
        <w:rPr/>
      </w:pPr>
      <w:r>
        <w:rPr>
          <w:rFonts w:eastAsia="Times New Roman" w:cs="Times New Roman" w:ascii="Arial" w:hAnsi="Arial"/>
          <w:color w:val="000000"/>
          <w:sz w:val="24"/>
          <w:szCs w:val="24"/>
        </w:rPr>
        <w:t>IV – 134 (cento e trinta e quatro) cargos de Defensor Público de 3ª Entrância;</w:t>
      </w:r>
    </w:p>
    <w:p>
      <w:pPr>
        <w:pStyle w:val="Normal"/>
        <w:spacing w:lineRule="auto" w:line="240" w:before="0" w:after="0"/>
        <w:jc w:val="both"/>
        <w:rPr/>
      </w:pPr>
      <w:r>
        <w:rPr>
          <w:rFonts w:eastAsia="Times New Roman" w:cs="Times New Roman" w:ascii="Arial" w:hAnsi="Arial"/>
          <w:color w:val="000000"/>
          <w:sz w:val="24"/>
          <w:szCs w:val="24"/>
        </w:rPr>
        <w:t>V – 16 (dezesseis) cargos de Defensor Público de Entrância Especial.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31. Ficam declaradas em extinção as seguintes Defensorias Públicas:</w:t>
      </w:r>
    </w:p>
    <w:p>
      <w:pPr>
        <w:pStyle w:val="Normal"/>
        <w:spacing w:lineRule="auto" w:line="240" w:before="0" w:after="0"/>
        <w:jc w:val="both"/>
        <w:rPr/>
      </w:pPr>
      <w:r>
        <w:rPr>
          <w:rFonts w:eastAsia="Times New Roman" w:cs="Times New Roman" w:ascii="Arial" w:hAnsi="Arial"/>
          <w:color w:val="000000"/>
          <w:sz w:val="24"/>
          <w:szCs w:val="24"/>
        </w:rPr>
        <w:t>I – 1ª Defensoria Pública dos Juizados Especiais Cíveis;</w:t>
      </w:r>
    </w:p>
    <w:p>
      <w:pPr>
        <w:pStyle w:val="Normal"/>
        <w:spacing w:lineRule="auto" w:line="240" w:before="0" w:after="0"/>
        <w:jc w:val="both"/>
        <w:rPr/>
      </w:pPr>
      <w:r>
        <w:rPr>
          <w:rFonts w:eastAsia="Times New Roman" w:cs="Times New Roman" w:ascii="Arial" w:hAnsi="Arial"/>
          <w:color w:val="000000"/>
          <w:sz w:val="24"/>
          <w:szCs w:val="24"/>
        </w:rPr>
        <w:t>II – 2ª Defensoria Pública dos Juizados Especiais Cíveis;</w:t>
      </w:r>
    </w:p>
    <w:p>
      <w:pPr>
        <w:pStyle w:val="Normal"/>
        <w:spacing w:lineRule="auto" w:line="240" w:before="0" w:after="0"/>
        <w:jc w:val="both"/>
        <w:rPr/>
      </w:pPr>
      <w:r>
        <w:rPr>
          <w:rFonts w:eastAsia="Times New Roman" w:cs="Times New Roman" w:ascii="Arial" w:hAnsi="Arial"/>
          <w:color w:val="000000"/>
          <w:sz w:val="24"/>
          <w:szCs w:val="24"/>
        </w:rPr>
        <w:t>III – 3ª Defensoria Pública dos Juizados Especiais Cíveis;</w:t>
      </w:r>
    </w:p>
    <w:p>
      <w:pPr>
        <w:pStyle w:val="Normal"/>
        <w:spacing w:lineRule="auto" w:line="240" w:before="0" w:after="0"/>
        <w:jc w:val="both"/>
        <w:rPr/>
      </w:pPr>
      <w:r>
        <w:rPr>
          <w:rFonts w:eastAsia="Times New Roman" w:cs="Times New Roman" w:ascii="Arial" w:hAnsi="Arial"/>
          <w:color w:val="000000"/>
          <w:sz w:val="24"/>
          <w:szCs w:val="24"/>
        </w:rPr>
        <w:t>IV – 4ª Defensoria Pública dos Juizados Especiais Cíveis;</w:t>
      </w:r>
    </w:p>
    <w:p>
      <w:pPr>
        <w:pStyle w:val="Normal"/>
        <w:spacing w:lineRule="auto" w:line="240" w:before="0" w:after="0"/>
        <w:jc w:val="both"/>
        <w:rPr/>
      </w:pPr>
      <w:r>
        <w:rPr>
          <w:rFonts w:eastAsia="Times New Roman" w:cs="Times New Roman" w:ascii="Arial" w:hAnsi="Arial"/>
          <w:color w:val="000000"/>
          <w:sz w:val="24"/>
          <w:szCs w:val="24"/>
        </w:rPr>
        <w:t>V – 5ª Defensoria Pública dos Juizados Especiais Cíveis;</w:t>
      </w:r>
    </w:p>
    <w:p>
      <w:pPr>
        <w:pStyle w:val="Normal"/>
        <w:spacing w:lineRule="auto" w:line="240" w:before="0" w:after="0"/>
        <w:jc w:val="both"/>
        <w:rPr/>
      </w:pPr>
      <w:r>
        <w:rPr>
          <w:rFonts w:eastAsia="Times New Roman" w:cs="Times New Roman" w:ascii="Arial" w:hAnsi="Arial"/>
          <w:color w:val="000000"/>
          <w:sz w:val="24"/>
          <w:szCs w:val="24"/>
        </w:rPr>
        <w:t>VI – 6ª Defensoria Pública dos Juizados Especiais Cíveis;</w:t>
      </w:r>
    </w:p>
    <w:p>
      <w:pPr>
        <w:pStyle w:val="Normal"/>
        <w:spacing w:lineRule="auto" w:line="240" w:before="0" w:after="0"/>
        <w:jc w:val="both"/>
        <w:rPr/>
      </w:pPr>
      <w:r>
        <w:rPr>
          <w:rFonts w:eastAsia="Times New Roman" w:cs="Times New Roman" w:ascii="Arial" w:hAnsi="Arial"/>
          <w:color w:val="000000"/>
          <w:sz w:val="24"/>
          <w:szCs w:val="24"/>
        </w:rPr>
        <w:t>VII – 7ª Defensoria Pública dos Juizados Especiais Cíveis.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Parágrafo único. As Defensorias Públicas de que trata este dispositivo continuarão providas por seus atuais titulares até a ocorrência da efetiva vacância, ficando vedada qualquer forma de provimento, inclusive a remoção por permuta.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32. Fica declarada em extinção a 1ª ou a 2ª Defensoria Pública Cível e Criminal de São Domingos do Araguaia, extinguindo-se a que vagar primeiro.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Parágrafo único. As Defensorias Públicas de que trata este dispositivo continuarão providas por seus atuais titulares até a ocorrência da efetiva vacância, ficando vedada qualquer forma de provimento, inclusive a remoção por permuta.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33. Todas as Defensorias Públicas do Estado do Pará passam a ficar consolidadas na forma dos Anexos desta Resolução, que estabelecem a distribuição dos cargos, suas nomenclaturas e áreas de atuação.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Art. 34. Esta Resolução entra em vigor na data de sua publicação, revogando-se as disposições em contrário.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Arial" w:ascii="Arial" w:hAnsi="Arial"/>
          <w:sz w:val="24"/>
          <w:szCs w:val="24"/>
        </w:rPr>
        <w:t xml:space="preserve">Sala de reuniões do Conselho Superior da Defensoria Pública do Estado, aos sete dias do mês de novembro do ano de dois mil e dezesseis.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VLADIMIR AUGUSTO DE CARVALHO LOBO E AVELINO KOENIG</w:t>
      </w:r>
    </w:p>
    <w:p>
      <w:pPr>
        <w:pStyle w:val="Normal"/>
        <w:spacing w:lineRule="auto" w:line="240" w:before="0" w:after="0"/>
        <w:jc w:val="both"/>
        <w:rPr/>
      </w:pPr>
      <w:r>
        <w:rPr>
          <w:rFonts w:cs="Arial" w:ascii="Arial" w:hAnsi="Arial"/>
          <w:color w:val="000000"/>
          <w:sz w:val="24"/>
          <w:szCs w:val="24"/>
        </w:rPr>
        <w:t>Presidente do Conselho, em exercício</w:t>
      </w:r>
    </w:p>
    <w:p>
      <w:pPr>
        <w:pStyle w:val="Normal"/>
        <w:spacing w:lineRule="auto" w:line="240" w:before="0" w:after="0"/>
        <w:jc w:val="both"/>
        <w:rPr/>
      </w:pPr>
      <w:r>
        <w:rPr>
          <w:rFonts w:cs="Arial" w:ascii="Arial" w:hAnsi="Arial"/>
          <w:color w:val="000000"/>
          <w:sz w:val="24"/>
          <w:szCs w:val="24"/>
        </w:rPr>
        <w:t>Subdefensor Público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ANTÔNIO CARLOS DE ANDRADE MONTEIRO</w:t>
      </w:r>
    </w:p>
    <w:p>
      <w:pPr>
        <w:pStyle w:val="Normal"/>
        <w:spacing w:lineRule="auto" w:line="240" w:before="0" w:after="0"/>
        <w:jc w:val="both"/>
        <w:rPr/>
      </w:pPr>
      <w:r>
        <w:rPr>
          <w:rFonts w:cs="Arial" w:ascii="Arial" w:hAnsi="Arial"/>
          <w:color w:val="000000"/>
          <w:sz w:val="24"/>
          <w:szCs w:val="24"/>
        </w:rPr>
        <w:t>Corregedor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LÉA CRISTINA BAPTISTA DE SIQUEIRA DE VASCONCELOS SERRA</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JOSÉ ROBERTO DA COSTA MARTINS</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FERNANDO ALBUQUERQUE DE OLIVEIRA</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Western"/>
        <w:spacing w:lineRule="auto" w:line="240" w:before="0" w:after="0"/>
        <w:jc w:val="both"/>
        <w:rPr/>
      </w:pPr>
      <w:r>
        <w:rPr>
          <w:rFonts w:cs="Arial" w:ascii="Arial" w:hAnsi="Arial"/>
          <w:sz w:val="24"/>
          <w:szCs w:val="24"/>
        </w:rPr>
        <w:t>MARCO AURÉLIO VELLOZO GUTERRES</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 xml:space="preserve">FRANCISCO ROBÉRIO CAVALCANTE PINHEIRO FILHO </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WALTER AUGUSTO BARRETO TEIXEIRA</w:t>
      </w:r>
    </w:p>
    <w:p>
      <w:pPr>
        <w:pStyle w:val="Western"/>
        <w:spacing w:lineRule="auto" w:line="240" w:before="0" w:after="0"/>
        <w:jc w:val="both"/>
        <w:rPr/>
      </w:pPr>
      <w:r>
        <w:rPr>
          <w:rFonts w:eastAsia="Times New Roman" w:cs="Times New Roman" w:ascii="Arial" w:hAnsi="Arial"/>
          <w:color w:val="000000"/>
          <w:sz w:val="24"/>
          <w:szCs w:val="24"/>
        </w:rPr>
        <w:t>Membro Titular</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t>Anexo I – Defensorias Públicas de Entrância Especial</w:t>
      </w:r>
    </w:p>
    <w:tbl>
      <w:tblPr>
        <w:tblW w:w="8790"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1242"/>
        <w:gridCol w:w="7547"/>
      </w:tblGrid>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1ª Defensoria Pública Cível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2ª Defensoria Pública Cível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3ª Defensoria Pública Cível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4ª Defensoria Pública Cível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1ª Defensoria Pública Criminal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2ª Defensoria Pública Criminal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3ª Defensoria Pública Criminal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4ª Defensoria Pública Criminal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5ª Defensoria Pública Criminal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10.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6ª Defensoria Pública Criminal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11.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7ª Defensoria Pública Criminal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12.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8ª Defensoria Pública Criminal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13.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9ª Defensoria Pública Criminal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14.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10ª Defensoria Pública Criminal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15.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11ª Defensoria Pública Criminal de Entrância Especial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20" w:after="120"/>
              <w:jc w:val="center"/>
              <w:rPr>
                <w:rFonts w:ascii="Arial" w:hAnsi="Arial" w:cs="Verdana"/>
                <w:sz w:val="24"/>
                <w:szCs w:val="24"/>
              </w:rPr>
            </w:pPr>
            <w:r>
              <w:rPr>
                <w:rFonts w:cs="Verdana" w:ascii="Arial" w:hAnsi="Arial"/>
                <w:sz w:val="24"/>
                <w:szCs w:val="24"/>
              </w:rPr>
              <w:t>16.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20" w:after="120"/>
              <w:jc w:val="both"/>
              <w:rPr>
                <w:rFonts w:ascii="Arial" w:hAnsi="Arial" w:cs="Verdana"/>
                <w:sz w:val="24"/>
                <w:szCs w:val="24"/>
              </w:rPr>
            </w:pPr>
            <w:r>
              <w:rPr>
                <w:rFonts w:cs="Verdana" w:ascii="Arial" w:hAnsi="Arial"/>
                <w:sz w:val="24"/>
                <w:szCs w:val="24"/>
              </w:rPr>
              <w:t>12ª Defensoria Pública Criminal de Entrância Especial</w:t>
            </w:r>
          </w:p>
        </w:tc>
      </w:tr>
    </w:tbl>
    <w:p>
      <w:pPr>
        <w:pStyle w:val="Normal"/>
        <w:spacing w:lineRule="auto" w:line="360" w:before="0" w:after="240"/>
        <w:jc w:val="center"/>
        <w:rPr>
          <w:rFonts w:ascii="Arial" w:hAnsi="Arial" w:cs="Verdana"/>
          <w:sz w:val="24"/>
          <w:szCs w:val="24"/>
        </w:rPr>
      </w:pPr>
      <w:r>
        <w:rPr>
          <w:rFonts w:cs="Verdana" w:ascii="Arial" w:hAnsi="Arial"/>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240" w:before="0" w:after="0"/>
        <w:jc w:val="left"/>
        <w:rPr>
          <w:rFonts w:ascii="Arial" w:hAnsi="Arial" w:cs="Verdana"/>
          <w:b/>
          <w:b/>
          <w:bCs/>
          <w:sz w:val="24"/>
          <w:szCs w:val="24"/>
        </w:rPr>
      </w:pPr>
      <w:r>
        <w:rPr>
          <w:rFonts w:cs="Verdana" w:ascii="Arial" w:hAnsi="Arial"/>
          <w:b/>
          <w:bCs/>
          <w:sz w:val="24"/>
          <w:szCs w:val="24"/>
        </w:rPr>
      </w:r>
    </w:p>
    <w:p>
      <w:pPr>
        <w:pStyle w:val="Normal"/>
        <w:spacing w:lineRule="auto" w:line="240" w:before="0" w:after="0"/>
        <w:jc w:val="left"/>
        <w:rPr/>
      </w:pPr>
      <w:r>
        <w:rPr>
          <w:rFonts w:cs="Verdana" w:ascii="Arial" w:hAnsi="Arial"/>
          <w:b/>
          <w:bCs/>
          <w:sz w:val="24"/>
          <w:szCs w:val="24"/>
        </w:rPr>
        <w:t>Anexo II – Defensorias Públicas de 3ª Entrância</w:t>
      </w:r>
    </w:p>
    <w:p>
      <w:pPr>
        <w:pStyle w:val="Normal"/>
        <w:spacing w:lineRule="auto" w:line="240" w:before="0" w:after="0"/>
        <w:jc w:val="left"/>
        <w:rPr>
          <w:rFonts w:ascii="Arial" w:hAnsi="Arial" w:cs="Verdana"/>
          <w:b/>
          <w:b/>
          <w:bCs/>
          <w:sz w:val="24"/>
          <w:szCs w:val="24"/>
        </w:rPr>
      </w:pPr>
      <w:r>
        <w:rPr>
          <w:rFonts w:cs="Verdana" w:ascii="Arial" w:hAnsi="Arial"/>
          <w:b/>
          <w:bCs/>
          <w:sz w:val="24"/>
          <w:szCs w:val="24"/>
        </w:rPr>
      </w:r>
    </w:p>
    <w:tbl>
      <w:tblPr>
        <w:tblW w:w="8790"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1242"/>
        <w:gridCol w:w="7547"/>
      </w:tblGrid>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1ª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2ª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3ª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4ª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5ª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6ª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7ª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8ª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9ª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10ª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11ª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12ª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13ª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14ª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15ª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16ª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17ª Defensoria Pública Cível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de Fazenda Pública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de Fazenda Pública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20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de Fazenda Pública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21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4ª Defensoria Pública de Fazenda Pública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22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5ª Defensoria Pública de Fazenda Pública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23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6ª Defensoria Pública de Fazenda Pública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24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7ª Defensoria Pública de Fazenda Pública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25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8ª Defensoria Pública de Fazenda Pública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26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9ª Defensoria Pública de Fazenda Pública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27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28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29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30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4ª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31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5ª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32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6ª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33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7ª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34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8ª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35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9ª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36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10ª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37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11ª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38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12ª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39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13ª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40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14ª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41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15ª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42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16ª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43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17ª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44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18ª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45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19ª Defensoria Pública de Família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46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das Relações de Consumo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47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das Relações de Consumo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48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das Relações de Consumo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49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4ª Defensoria Pública das Relações de Consumo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50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5ª Defensoria Pública das Relações de Consumo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51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6ª Defensoria Pública das Relações de Consumo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52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7ª Defensoria Pública das Relações de Consumo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53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8ª Defensoria Pública das Relações de Consumo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54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9ª Defensoria Pública das Relações de Consumo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55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dos Juizados Especiais Cíveis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56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dos Juizados Especiais Cíveis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57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dos Juizados Especiais Cíveis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58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4ª Defensoria Pública dos Juizados Especiais Cíveis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59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5ª Defensoria Pública dos Juizados Especiais Cíveis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60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6ª Defensoria Pública dos Juizados Especiais Cíveis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61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7ª Defensoria Pública dos Juizados Especiais Cíveis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62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da Infância e Juventude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63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da Infância e Juventude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64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da Infância e Juventude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65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4ª Defensoria Pública da Infância e Juventude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66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5ª Defensoria Pública da Infância e Juventude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67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6ª Defensoria Pública da Infância e Juventude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68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7ª Defensoria Pública da Infância e Juventude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69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8ª Defensoria Pública da Infância e Juventude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70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9ª Defensoria Pública da Infância e Juventude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71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de Direitos Humanos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72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de Direitos Humanos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73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de Direitos Humanos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74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4ª Defensoria Pública de Direitos Humanos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75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Especializada em Violência Doméstica e do Idoso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76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Especializada em Violência Doméstica e do Idoso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77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Especializada em Violência Doméstica e do Idoso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78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4ª Defensoria Pública Especializada em Violência Doméstica e do Idoso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79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5ª Defensoria Pública Especializada em Violência Doméstica e do Idoso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80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6ª Defensoria Pública Especializada em Violência Doméstica e do Idoso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81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82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83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84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4ª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85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sz w:val="24"/>
                <w:szCs w:val="24"/>
              </w:rPr>
            </w:pPr>
            <w:r>
              <w:rPr>
                <w:rFonts w:cs="Verdana" w:ascii="Arial" w:hAnsi="Arial"/>
                <w:sz w:val="24"/>
                <w:szCs w:val="24"/>
              </w:rPr>
              <w:t>5ª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86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6ª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87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7ª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88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8ª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89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9ª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90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10ª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91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11ª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92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12ª Defensoria Pública Criminal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93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Criminal Especializada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94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Criminal Especializada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95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Criminal Especializada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96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4ª Defensoria Pública Criminal Especializada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97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5ª Defensoria Pública Criminal Especializada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98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 xml:space="preserve">1ª Defensoria Pública dos Juizados Especiais Criminais </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99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dos Juizados Especiais Criminais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100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dos Juizados Especiais Criminais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101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4ª Defensoria Pública dos Juizados Especiais Criminais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102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do Tribunal do Júri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103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do Tribunal do Júri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104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do Tribunal do Júri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105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Criminal de Flagrantes e Inquéritos Policiais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106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Criminal de Flagrantes e Inquéritos Policiais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107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Criminal de Flagrantes e Inquéritos Policiais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108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109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2ª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110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3ª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111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4ª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112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5ª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113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6ª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114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7ª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115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8ª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116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9ª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117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10ª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118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11ª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119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12ª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120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13ª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121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360" w:before="119" w:after="119"/>
              <w:rPr>
                <w:rFonts w:ascii="Arial" w:hAnsi="Arial" w:cs="Verdana"/>
                <w:sz w:val="24"/>
                <w:szCs w:val="24"/>
              </w:rPr>
            </w:pPr>
            <w:r>
              <w:rPr>
                <w:rFonts w:cs="Verdana" w:ascii="Arial" w:hAnsi="Arial"/>
                <w:sz w:val="24"/>
                <w:szCs w:val="24"/>
              </w:rPr>
              <w:t>14ª Defensoria Pública de Execução Penal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122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1ª Defensoria Pública Cível de Icoaraci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123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2ª Defensoria Pública Cível de Icoaraci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124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3ª Defensoria Pública Cível de Icoaraci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125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4ª Defensoria Pública Cível de Icoaraci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126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sz w:val="24"/>
                <w:szCs w:val="24"/>
              </w:rPr>
            </w:pPr>
            <w:r>
              <w:rPr>
                <w:rFonts w:cs="Verdana" w:ascii="Arial" w:hAnsi="Arial"/>
                <w:sz w:val="24"/>
                <w:szCs w:val="24"/>
              </w:rPr>
              <w:t>1ª Defensoria Pública da Infância e Juventude de Icoaraci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127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1ª Defensoria Pública do Juizado Especial Cível de Icoaraci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128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1ª Defensoria Pública do Juizado Especial Criminal de Icoaraci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129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1ª Defensoria Pública Criminal de Icoaraci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130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2ª Defensoria Pública Criminal de Icoaraci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131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3ª Defensoria Pública Criminal de Icoaraci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132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4ª Defensoria Pública Criminal de Icoaraci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133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1ª Defensoria Pública Cível e Criminal de Mosqueiro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bottom"/>
          </w:tcPr>
          <w:p>
            <w:pPr>
              <w:pStyle w:val="Normal"/>
              <w:spacing w:lineRule="auto" w:line="360" w:before="119" w:after="119"/>
              <w:jc w:val="center"/>
              <w:rPr>
                <w:rFonts w:ascii="Arial" w:hAnsi="Arial" w:cs="Verdana"/>
                <w:color w:val="000000"/>
                <w:sz w:val="24"/>
                <w:szCs w:val="24"/>
              </w:rPr>
            </w:pPr>
            <w:r>
              <w:rPr>
                <w:rFonts w:cs="Verdana" w:ascii="Arial" w:hAnsi="Arial"/>
                <w:color w:val="000000"/>
                <w:sz w:val="24"/>
                <w:szCs w:val="24"/>
              </w:rPr>
              <w:t>134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9" w:after="119"/>
              <w:jc w:val="both"/>
              <w:rPr>
                <w:rFonts w:ascii="Arial" w:hAnsi="Arial" w:cs="Verdana"/>
                <w:sz w:val="24"/>
                <w:szCs w:val="24"/>
              </w:rPr>
            </w:pPr>
            <w:r>
              <w:rPr>
                <w:rFonts w:cs="Verdana" w:ascii="Arial" w:hAnsi="Arial"/>
                <w:sz w:val="24"/>
                <w:szCs w:val="24"/>
              </w:rPr>
              <w:t>2ª Defensoria Pública Cível e Criminal de Mosqueiro</w:t>
            </w:r>
          </w:p>
        </w:tc>
      </w:tr>
    </w:tbl>
    <w:p>
      <w:pPr>
        <w:pStyle w:val="Normal"/>
        <w:spacing w:lineRule="auto" w:line="360" w:before="0" w:after="240"/>
        <w:rPr>
          <w:rFonts w:ascii="Arial" w:hAnsi="Arial" w:cs="Verdana"/>
          <w:sz w:val="24"/>
          <w:szCs w:val="24"/>
        </w:rPr>
      </w:pPr>
      <w:r>
        <w:rPr>
          <w:rFonts w:cs="Verdana" w:ascii="Arial" w:hAnsi="Arial"/>
          <w:sz w:val="24"/>
          <w:szCs w:val="24"/>
        </w:rPr>
      </w:r>
    </w:p>
    <w:p>
      <w:pPr>
        <w:pStyle w:val="Normal"/>
        <w:spacing w:lineRule="auto" w:line="360" w:before="0" w:after="240"/>
        <w:rPr>
          <w:rFonts w:ascii="Arial" w:hAnsi="Arial" w:cs="Verdana"/>
          <w:sz w:val="24"/>
          <w:szCs w:val="24"/>
        </w:rPr>
      </w:pPr>
      <w:r>
        <w:rPr>
          <w:rFonts w:cs="Verdana" w:ascii="Arial" w:hAnsi="Arial"/>
          <w:sz w:val="24"/>
          <w:szCs w:val="24"/>
        </w:rPr>
      </w:r>
    </w:p>
    <w:p>
      <w:pPr>
        <w:pStyle w:val="Normal"/>
        <w:spacing w:lineRule="auto" w:line="360" w:before="0" w:after="240"/>
        <w:rPr>
          <w:rFonts w:ascii="Arial" w:hAnsi="Arial" w:cs="Verdana"/>
          <w:sz w:val="24"/>
          <w:szCs w:val="24"/>
        </w:rPr>
      </w:pPr>
      <w:r>
        <w:rPr>
          <w:rFonts w:cs="Verdana" w:ascii="Arial" w:hAnsi="Arial"/>
          <w:sz w:val="24"/>
          <w:szCs w:val="24"/>
        </w:rPr>
      </w:r>
    </w:p>
    <w:p>
      <w:pPr>
        <w:pStyle w:val="Normal"/>
        <w:spacing w:lineRule="auto" w:line="360" w:before="0" w:after="240"/>
        <w:rPr>
          <w:rFonts w:ascii="Arial" w:hAnsi="Arial" w:cs="Verdana"/>
          <w:sz w:val="24"/>
          <w:szCs w:val="24"/>
        </w:rPr>
      </w:pPr>
      <w:r>
        <w:rPr>
          <w:rFonts w:cs="Verdana" w:ascii="Arial" w:hAnsi="Arial"/>
          <w:sz w:val="24"/>
          <w:szCs w:val="24"/>
        </w:rPr>
      </w:r>
    </w:p>
    <w:p>
      <w:pPr>
        <w:pStyle w:val="Normal"/>
        <w:spacing w:lineRule="auto" w:line="360" w:before="0" w:after="240"/>
        <w:rPr>
          <w:rFonts w:ascii="Arial" w:hAnsi="Arial" w:cs="Verdana"/>
          <w:sz w:val="24"/>
          <w:szCs w:val="24"/>
        </w:rPr>
      </w:pPr>
      <w:r>
        <w:rPr>
          <w:rFonts w:cs="Verdana" w:ascii="Arial" w:hAnsi="Arial"/>
          <w:sz w:val="24"/>
          <w:szCs w:val="24"/>
        </w:rPr>
      </w:r>
    </w:p>
    <w:p>
      <w:pPr>
        <w:pStyle w:val="Normal"/>
        <w:spacing w:lineRule="auto" w:line="360" w:before="0" w:after="240"/>
        <w:rPr>
          <w:rFonts w:ascii="Arial" w:hAnsi="Arial" w:cs="Verdana"/>
          <w:sz w:val="24"/>
          <w:szCs w:val="24"/>
        </w:rPr>
      </w:pPr>
      <w:r>
        <w:rPr>
          <w:rFonts w:cs="Verdana" w:ascii="Arial" w:hAnsi="Arial"/>
          <w:sz w:val="24"/>
          <w:szCs w:val="24"/>
        </w:rPr>
      </w:r>
    </w:p>
    <w:p>
      <w:pPr>
        <w:pStyle w:val="Normal"/>
        <w:spacing w:lineRule="auto" w:line="360" w:before="0" w:after="240"/>
        <w:rPr>
          <w:rFonts w:ascii="Arial" w:hAnsi="Arial" w:cs="Verdana"/>
          <w:sz w:val="24"/>
          <w:szCs w:val="24"/>
        </w:rPr>
      </w:pPr>
      <w:r>
        <w:rPr>
          <w:rFonts w:cs="Verdana" w:ascii="Arial" w:hAnsi="Arial"/>
          <w:sz w:val="24"/>
          <w:szCs w:val="24"/>
        </w:rPr>
      </w:r>
    </w:p>
    <w:p>
      <w:pPr>
        <w:pStyle w:val="Normal"/>
        <w:spacing w:lineRule="auto" w:line="360" w:before="0" w:after="240"/>
        <w:rPr>
          <w:rFonts w:ascii="Arial" w:hAnsi="Arial" w:cs="Verdana"/>
          <w:sz w:val="24"/>
          <w:szCs w:val="24"/>
        </w:rPr>
      </w:pPr>
      <w:r>
        <w:rPr>
          <w:rFonts w:cs="Verdana" w:ascii="Arial" w:hAnsi="Arial"/>
          <w:sz w:val="24"/>
          <w:szCs w:val="24"/>
        </w:rPr>
      </w:r>
    </w:p>
    <w:p>
      <w:pPr>
        <w:pStyle w:val="Normal"/>
        <w:spacing w:lineRule="auto" w:line="240" w:before="0" w:after="0"/>
        <w:jc w:val="left"/>
        <w:rPr>
          <w:rFonts w:ascii="Arial" w:hAnsi="Arial" w:cs="Verdana"/>
          <w:b/>
          <w:b/>
          <w:bCs/>
          <w:sz w:val="24"/>
          <w:szCs w:val="24"/>
        </w:rPr>
      </w:pPr>
      <w:r>
        <w:rPr>
          <w:rFonts w:cs="Verdana" w:ascii="Arial" w:hAnsi="Arial"/>
          <w:b/>
          <w:bCs/>
          <w:sz w:val="24"/>
          <w:szCs w:val="24"/>
        </w:rPr>
      </w:r>
    </w:p>
    <w:p>
      <w:pPr>
        <w:pStyle w:val="Normal"/>
        <w:spacing w:lineRule="auto" w:line="240" w:before="0" w:after="0"/>
        <w:jc w:val="left"/>
        <w:rPr/>
      </w:pPr>
      <w:r>
        <w:rPr>
          <w:rFonts w:cs="Verdana" w:ascii="Arial" w:hAnsi="Arial"/>
          <w:b/>
          <w:bCs/>
          <w:sz w:val="24"/>
          <w:szCs w:val="24"/>
        </w:rPr>
        <w:t>Anexo III – Defensorias Públicas de 2ª Entrância</w:t>
      </w:r>
    </w:p>
    <w:p>
      <w:pPr>
        <w:pStyle w:val="Normal"/>
        <w:spacing w:lineRule="auto" w:line="240" w:before="0" w:after="0"/>
        <w:jc w:val="left"/>
        <w:rPr>
          <w:rFonts w:ascii="Arial" w:hAnsi="Arial" w:cs="Verdana"/>
          <w:b/>
          <w:b/>
          <w:bCs/>
          <w:sz w:val="24"/>
          <w:szCs w:val="24"/>
        </w:rPr>
      </w:pPr>
      <w:r>
        <w:rPr>
          <w:rFonts w:cs="Verdana" w:ascii="Arial" w:hAnsi="Arial"/>
          <w:b/>
          <w:bCs/>
          <w:sz w:val="24"/>
          <w:szCs w:val="24"/>
        </w:rPr>
      </w:r>
    </w:p>
    <w:tbl>
      <w:tblPr>
        <w:tblW w:w="8790"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1242"/>
        <w:gridCol w:w="7547"/>
      </w:tblGrid>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Criminal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Criminal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4ª Defensoria Pública Criminal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5ª Defensoria Pública Criminal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Cível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4ª Defensoria Pública Cível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5ª Defensoria Pública Cível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6ª Defensoria Pública Cível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7ª Defensoria Pública Cível e de Infância e Juventude de Ananindeua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e Criminal de Marituba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e Criminal de Marituba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e Criminal de Santa Izabel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2ª Defensoria Pública Cível e Criminal de Santa Izabel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1ª Defensoria Pública Cível e Criminal de Benevides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1ª Defensoria Pública Cível e Criminal de Benevides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Castanhal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Castanhal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Cível e de Infância e Juventude de Castanhal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Castanhal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2ª Defensoria Pública Criminal de Castanhal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3ª Defensoria Pública Criminal de Castanhal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Curuçá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Igarapé-Açu</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Maracanã</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Marapanim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Vigia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Capanema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Capanema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Cível e de Infância e Juventude de Capanema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Capanema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Criminal de Capanema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e Criminal de Bragança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e Criminal de Bragança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Salinópolis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Viseu</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Abaetetuba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Abaetetuba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Cível e de Infância e Juventude de Abaetetuba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Abaetetuba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Criminal de Abaetetuba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e Criminal de Barcarena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e Criminal de Barcarena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Cametá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Moju</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Igarapé-Miri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Breves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Breves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Breves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2ª Defensoria Pública Criminal de Breves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Ponta de Pedras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Soure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Muaná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Marabá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Marabá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Cível de Marabá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4ª Defensoria Pública Cível de Marabá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5ª Defensoria Pública Cível e de Infância e Juventude de Marabá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Marabá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Criminal de Marabá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Criminal de Marabá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4ª Defensoria Pública Criminal de Marabá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5ª Defensoria Pública Criminal de Marabá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Parauapebas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Parauapebas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Cível e de Infância e Juventude de Parauapebas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Parauapebas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Criminal de Parauapebas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Rondon do Pará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Redenção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Redenção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Cível e de Infância e Juventude de Redenção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Redenção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Criminal de Redenção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Conceição do Araguaia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e Criminal de Xinguara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e Criminal de Xinguara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Tucumã</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Altamira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Altamira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Cível de Altamira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4ª Defensoria Pública Cível e de Infância e Juventude de Altamira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Altamira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Criminal de Altamira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Criminal de Altamira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Santarém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Santarém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Cível de Santarém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4ª Defensoria Pública Cível de Santarém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5ª Defensoria Pública Cível de Santarém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6ª Defensoria Pública Cível e de Infância e Juventude de Santarém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Santarém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Criminal de Santarém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3ª Defensoria Pública Criminal de Santarém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4ª Defensoria Pública Criminal de Santarém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5ª Defensoria Pública Criminal de Santarém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Alenquer</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Monte Alegre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Oriximiná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do Distrito de Monte Dourado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Paragominas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Paragominas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Paragominas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Criminal de Paragominas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Mãe do Rio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Tomé-Açu</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São Miguel do Guamá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110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de Tucuruí</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111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de Tucuruí</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112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Criminal de Tucuruí</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113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Criminal de Tucuruí</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114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Cível e Criminal de Itaituba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115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2ª Defensoria Pública Cível e Criminal de Itaituba</w:t>
            </w:r>
          </w:p>
        </w:tc>
      </w:tr>
    </w:tbl>
    <w:p>
      <w:pPr>
        <w:pStyle w:val="Normal"/>
        <w:spacing w:lineRule="auto" w:line="360" w:before="0" w:after="240"/>
        <w:jc w:val="center"/>
        <w:rPr>
          <w:rFonts w:ascii="Arial" w:hAnsi="Arial" w:cs="Verdana"/>
          <w:sz w:val="24"/>
          <w:szCs w:val="24"/>
        </w:rPr>
      </w:pPr>
      <w:r>
        <w:rPr>
          <w:rFonts w:cs="Verdana" w:ascii="Arial" w:hAnsi="Arial"/>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240" w:before="0" w:after="0"/>
        <w:jc w:val="left"/>
        <w:rPr>
          <w:rFonts w:ascii="Arial" w:hAnsi="Arial" w:cs="Verdana"/>
          <w:b/>
          <w:b/>
          <w:bCs/>
          <w:sz w:val="24"/>
          <w:szCs w:val="24"/>
        </w:rPr>
      </w:pPr>
      <w:r>
        <w:rPr>
          <w:rFonts w:cs="Verdana" w:ascii="Arial" w:hAnsi="Arial"/>
          <w:b/>
          <w:bCs/>
          <w:sz w:val="24"/>
          <w:szCs w:val="24"/>
        </w:rPr>
      </w:r>
    </w:p>
    <w:p>
      <w:pPr>
        <w:pStyle w:val="Normal"/>
        <w:spacing w:lineRule="auto" w:line="240" w:before="0" w:after="0"/>
        <w:jc w:val="left"/>
        <w:rPr/>
      </w:pPr>
      <w:r>
        <w:rPr>
          <w:rFonts w:cs="Verdana" w:ascii="Arial" w:hAnsi="Arial"/>
          <w:b/>
          <w:bCs/>
          <w:sz w:val="24"/>
          <w:szCs w:val="24"/>
        </w:rPr>
        <w:t>Anexo IV – Defensorias Públicas de 1ª Entrância</w:t>
      </w:r>
    </w:p>
    <w:p>
      <w:pPr>
        <w:pStyle w:val="Normal"/>
        <w:spacing w:lineRule="auto" w:line="240" w:before="0" w:after="0"/>
        <w:jc w:val="left"/>
        <w:rPr>
          <w:rFonts w:ascii="Arial" w:hAnsi="Arial" w:cs="Verdana"/>
          <w:b/>
          <w:b/>
          <w:bCs/>
          <w:sz w:val="24"/>
          <w:szCs w:val="24"/>
        </w:rPr>
      </w:pPr>
      <w:r>
        <w:rPr>
          <w:rFonts w:cs="Verdana" w:ascii="Arial" w:hAnsi="Arial"/>
          <w:b/>
          <w:bCs/>
          <w:sz w:val="24"/>
          <w:szCs w:val="24"/>
        </w:rPr>
      </w:r>
    </w:p>
    <w:tbl>
      <w:tblPr>
        <w:tblW w:w="8790"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1242"/>
        <w:gridCol w:w="7547"/>
      </w:tblGrid>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Bujaru e Santo Antônio do Tauá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São Caetano de Odivelas e Colares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São Domingos do Capim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São Francisco do Pará e Inhangapi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Garrafão do Norte e Nova Esperança do Piriá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Capitão Poço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Ourém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Augusto Corrêa e Bonito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Peixe-Boi e Nova Timboteua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Primavera e Quatipuru</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Santa Luzia do Pará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Santarém Novo e São João de Pirabas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Acará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Baião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Limoeiro do Ajuru</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Mocajuba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Afuá e Chaves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Oeiras do Pará e Curralinho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Anajás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Cachoeira do Arari e Santa Cruz do Arari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Melgaço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Portel</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Salvaterra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São Sebastião da Boa Vista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Itupiranga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1ª Defensoria Pública Cível e Criminal de São Domingos do Araguaia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2ª Defensoria Pública Cível e Criminal de São Domingos do Araguaia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sz w:val="24"/>
                <w:szCs w:val="24"/>
              </w:rPr>
            </w:pPr>
            <w:r>
              <w:rPr>
                <w:rFonts w:cs="Verdana" w:ascii="Arial" w:hAnsi="Arial"/>
                <w:color w:val="000000"/>
                <w:sz w:val="24"/>
                <w:szCs w:val="24"/>
              </w:rPr>
              <w:t>28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1ª Defensoria Pública de São João do Araguaia, Brejo Grande do Araguaia e Palestina do Pará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São Geraldo do Araguaia e Piçarra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Jacundá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Canaã dos Carajás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Curionópolis e Eldorado dos Carajás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Ourilândia do Norte</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São Félix do Xingu</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Santana do Araguaia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Gurupá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Brasil Novo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Porto de Moz</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Medicilândia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Senador José Porfírio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Uruará e Placas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Vitória do Xingu</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Prainha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Almeirim</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Juruti</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Rurópolis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Faro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Terra Santa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do Distrito de Monte Dourado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Ulianópolis</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Aurora do Pará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Concórdia do Pará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Ipixuna do Pará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Irituia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Dom Eliseu</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Santa Maria do Pará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Tailândia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Breu Branco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Goianésia do Pará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Novo Repartimento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Pacajá</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Anapu</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Novo Progresso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cs="Verdana"/>
                <w:sz w:val="24"/>
                <w:szCs w:val="24"/>
              </w:rPr>
            </w:pPr>
            <w:r>
              <w:rPr>
                <w:rFonts w:cs="Verdana" w:ascii="Arial" w:hAnsi="Arial"/>
                <w:sz w:val="24"/>
                <w:szCs w:val="24"/>
              </w:rPr>
              <w:t>1ª Defensoria Pública de Trairão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1ª Defensoria Pública de Jacareacanga</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1ª Defensoria Pública de Rio Maria e Bannach</w:t>
            </w:r>
          </w:p>
        </w:tc>
      </w:tr>
    </w:tbl>
    <w:p>
      <w:pPr>
        <w:pStyle w:val="Normal"/>
        <w:spacing w:lineRule="auto" w:line="360" w:before="0" w:after="240"/>
        <w:jc w:val="center"/>
        <w:rPr>
          <w:rFonts w:ascii="Arial" w:hAnsi="Arial" w:cs="Verdana"/>
          <w:sz w:val="24"/>
          <w:szCs w:val="24"/>
        </w:rPr>
      </w:pPr>
      <w:r>
        <w:rPr>
          <w:rFonts w:cs="Verdana" w:ascii="Arial" w:hAnsi="Arial"/>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360" w:before="0" w:after="240"/>
        <w:jc w:val="left"/>
        <w:rPr>
          <w:rFonts w:ascii="Arial" w:hAnsi="Arial" w:cs="Verdana"/>
          <w:b/>
          <w:b/>
          <w:bCs/>
          <w:sz w:val="24"/>
          <w:szCs w:val="24"/>
        </w:rPr>
      </w:pPr>
      <w:r>
        <w:rPr>
          <w:rFonts w:cs="Verdana" w:ascii="Arial" w:hAnsi="Arial"/>
          <w:b/>
          <w:bCs/>
          <w:sz w:val="24"/>
          <w:szCs w:val="24"/>
        </w:rPr>
      </w:r>
    </w:p>
    <w:p>
      <w:pPr>
        <w:pStyle w:val="Normal"/>
        <w:spacing w:lineRule="auto" w:line="240" w:before="0" w:after="0"/>
        <w:jc w:val="left"/>
        <w:rPr>
          <w:rFonts w:ascii="Arial" w:hAnsi="Arial" w:cs="Verdana"/>
          <w:b/>
          <w:b/>
          <w:bCs/>
          <w:sz w:val="24"/>
          <w:szCs w:val="24"/>
        </w:rPr>
      </w:pPr>
      <w:r>
        <w:rPr>
          <w:rFonts w:cs="Verdana" w:ascii="Arial" w:hAnsi="Arial"/>
          <w:b/>
          <w:bCs/>
          <w:sz w:val="24"/>
          <w:szCs w:val="24"/>
        </w:rPr>
      </w:r>
    </w:p>
    <w:p>
      <w:pPr>
        <w:pStyle w:val="Normal"/>
        <w:spacing w:lineRule="auto" w:line="240" w:before="0" w:after="0"/>
        <w:jc w:val="left"/>
        <w:rPr/>
      </w:pPr>
      <w:r>
        <w:rPr>
          <w:rFonts w:cs="Verdana" w:ascii="Arial" w:hAnsi="Arial"/>
          <w:b/>
          <w:bCs/>
          <w:sz w:val="24"/>
          <w:szCs w:val="24"/>
        </w:rPr>
        <w:t>Anexo V – Defensorias Públicas de Substituição</w:t>
      </w:r>
    </w:p>
    <w:p>
      <w:pPr>
        <w:pStyle w:val="Normal"/>
        <w:spacing w:lineRule="auto" w:line="240" w:before="0" w:after="0"/>
        <w:jc w:val="left"/>
        <w:rPr>
          <w:rFonts w:ascii="Arial" w:hAnsi="Arial" w:cs="Verdana"/>
          <w:b/>
          <w:b/>
          <w:bCs/>
          <w:sz w:val="24"/>
          <w:szCs w:val="24"/>
        </w:rPr>
      </w:pPr>
      <w:r>
        <w:rPr>
          <w:rFonts w:cs="Verdana" w:ascii="Arial" w:hAnsi="Arial"/>
          <w:b/>
          <w:bCs/>
          <w:sz w:val="24"/>
          <w:szCs w:val="24"/>
        </w:rPr>
      </w:r>
    </w:p>
    <w:tbl>
      <w:tblPr>
        <w:tblW w:w="8790"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1242"/>
        <w:gridCol w:w="7547"/>
      </w:tblGrid>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2ª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3ª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4ª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5ª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6ª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7ª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8ª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9ª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10</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10ª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11</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11ª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12</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12ª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13</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13ª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14</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14ª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15</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15ª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16</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16ª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17</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17ª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18</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18ª Defensoria Pública de Substituição</w:t>
            </w:r>
          </w:p>
        </w:tc>
      </w:tr>
      <w:tr>
        <w:trPr/>
        <w:tc>
          <w:tcPr>
            <w:tcW w:w="124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360" w:before="113" w:after="113"/>
              <w:jc w:val="center"/>
              <w:rPr>
                <w:rFonts w:ascii="Arial" w:hAnsi="Arial" w:cs="Verdana"/>
                <w:color w:val="000000"/>
                <w:sz w:val="24"/>
                <w:szCs w:val="24"/>
              </w:rPr>
            </w:pPr>
            <w:r>
              <w:rPr>
                <w:rFonts w:cs="Verdana" w:ascii="Arial" w:hAnsi="Arial"/>
                <w:color w:val="000000"/>
                <w:sz w:val="24"/>
                <w:szCs w:val="24"/>
              </w:rPr>
              <w:t>19</w:t>
            </w:r>
          </w:p>
        </w:tc>
        <w:tc>
          <w:tcPr>
            <w:tcW w:w="7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360" w:before="113" w:after="113"/>
              <w:jc w:val="both"/>
              <w:rPr>
                <w:rFonts w:ascii="Arial" w:hAnsi="Arial"/>
                <w:sz w:val="24"/>
                <w:szCs w:val="24"/>
              </w:rPr>
            </w:pPr>
            <w:r>
              <w:rPr>
                <w:rFonts w:cs="Verdana" w:ascii="Arial" w:hAnsi="Arial"/>
                <w:sz w:val="24"/>
                <w:szCs w:val="24"/>
              </w:rPr>
              <w:t>19ª Defensoria Pública de Substituição</w:t>
            </w:r>
          </w:p>
        </w:tc>
      </w:tr>
    </w:tbl>
    <w:p>
      <w:pPr>
        <w:pStyle w:val="Normal"/>
        <w:spacing w:lineRule="auto" w:line="360" w:before="0" w:after="240"/>
        <w:jc w:val="both"/>
        <w:rPr/>
      </w:pPr>
      <w:r>
        <w:rPr/>
      </w:r>
    </w:p>
    <w:sectPr>
      <w:headerReference w:type="default" r:id="rId2"/>
      <w:type w:val="nextPage"/>
      <w:pgSz w:w="11906" w:h="16838"/>
      <w:pgMar w:left="1701" w:right="1701" w:header="680" w:top="2438" w:footer="0" w:bottom="10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ambri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22"/>
        <w:szCs w:val="22"/>
      </w:rPr>
    </w:pPr>
    <w:r>
      <w:rPr/>
      <w:drawing>
        <wp:inline distT="0" distB="0" distL="0" distR="0">
          <wp:extent cx="782320" cy="68770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pPr>
      <w:pStyle w:val="Normal"/>
      <w:spacing w:lineRule="auto" w:line="240" w:before="0" w:after="0"/>
      <w:jc w:val="center"/>
      <w:rPr>
        <w:rFonts w:ascii="Arial" w:hAnsi="Arial"/>
        <w:b/>
        <w:b/>
        <w:bCs/>
        <w:sz w:val="24"/>
        <w:szCs w:val="24"/>
      </w:rPr>
    </w:pPr>
    <w:r>
      <w:rPr>
        <w:rFonts w:ascii="Arial" w:hAnsi="Arial"/>
        <w:b/>
        <w:bCs/>
        <w:sz w:val="22"/>
        <w:szCs w:val="22"/>
      </w:rPr>
      <w:t>ESTADO DO PARÁ</w:t>
    </w:r>
  </w:p>
  <w:p>
    <w:pPr>
      <w:pStyle w:val="Normal"/>
      <w:spacing w:lineRule="auto" w:line="240" w:before="0" w:after="0"/>
      <w:jc w:val="center"/>
      <w:rPr>
        <w:rFonts w:ascii="Arial" w:hAnsi="Arial"/>
        <w:b/>
        <w:b/>
        <w:bCs/>
        <w:sz w:val="24"/>
        <w:szCs w:val="24"/>
      </w:rPr>
    </w:pPr>
    <w:r>
      <w:rPr>
        <w:rFonts w:ascii="Arial" w:hAnsi="Arial"/>
        <w:b/>
        <w:bCs/>
        <w:sz w:val="22"/>
        <w:szCs w:val="22"/>
      </w:rPr>
      <w:t>DEFENSORIA PÚBLICA</w:t>
    </w:r>
  </w:p>
  <w:p>
    <w:pPr>
      <w:pStyle w:val="Ttulo6"/>
      <w:spacing w:lineRule="auto" w:line="240" w:before="0" w:after="0"/>
      <w:jc w:val="center"/>
      <w:rPr/>
    </w:pPr>
    <w:r>
      <w:rPr>
        <w:rFonts w:ascii="Arial" w:hAnsi="Arial"/>
        <w:b/>
        <w:bCs/>
        <w:sz w:val="22"/>
        <w:szCs w:val="22"/>
      </w:rPr>
      <w:t>CONSELHO SUPERIOR</w:t>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t-BR" w:eastAsia="pt-BR" w:bidi="ar-SA"/>
    </w:rPr>
  </w:style>
  <w:style w:type="paragraph" w:styleId="Ttulo6">
    <w:name w:val="Título 6"/>
    <w:basedOn w:val="Ttulododocumento"/>
    <w:pPr>
      <w:outlineLvl w:val="5"/>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1b1df6"/>
    <w:rPr>
      <w:sz w:val="20"/>
      <w:szCs w:val="20"/>
    </w:rPr>
  </w:style>
  <w:style w:type="character" w:styleId="Footnotereference">
    <w:name w:val="footnote reference"/>
    <w:basedOn w:val="DefaultParagraphFont"/>
    <w:uiPriority w:val="99"/>
    <w:semiHidden/>
    <w:unhideWhenUsed/>
    <w:qFormat/>
    <w:rsid w:val="001b1df6"/>
    <w:rPr>
      <w:vertAlign w:val="superscript"/>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CabealhoChar" w:customStyle="1">
    <w:name w:val="Cabeçalho Char"/>
    <w:qFormat/>
    <w:rPr>
      <w:sz w:val="24"/>
    </w:rPr>
  </w:style>
  <w:style w:type="character" w:styleId="AssuntodocomentrioChar" w:customStyle="1">
    <w:name w:val="Assunto do comentário Char"/>
    <w:qFormat/>
    <w:rPr>
      <w:b/>
    </w:rPr>
  </w:style>
  <w:style w:type="character" w:styleId="TextodecomentrioChar" w:customStyle="1">
    <w:name w:val="Texto de comentário Char"/>
    <w:qFormat/>
    <w:rPr/>
  </w:style>
  <w:style w:type="character" w:styleId="Refdecomentrio1" w:customStyle="1">
    <w:name w:val="Ref. de comentário1"/>
    <w:qFormat/>
    <w:rPr>
      <w:sz w:val="16"/>
    </w:rPr>
  </w:style>
  <w:style w:type="character" w:styleId="RecuodecorpodetextoChar" w:customStyle="1">
    <w:name w:val="Recuo de corpo de texto Char"/>
    <w:qFormat/>
    <w:rPr>
      <w:sz w:val="24"/>
    </w:rPr>
  </w:style>
  <w:style w:type="character" w:styleId="Recuodecorpodetexto2Char" w:customStyle="1">
    <w:name w:val="Recuo de corpo de texto 2 Char"/>
    <w:qFormat/>
    <w:rPr>
      <w:sz w:val="24"/>
    </w:rPr>
  </w:style>
  <w:style w:type="character" w:styleId="Appleconvertedspace" w:customStyle="1">
    <w:name w:val="apple-converted-space"/>
    <w:qFormat/>
    <w:rPr/>
  </w:style>
  <w:style w:type="character" w:styleId="CorpodetextoChar" w:customStyle="1">
    <w:name w:val="Corpo de texto Char"/>
    <w:qFormat/>
    <w:rPr>
      <w:rFonts w:ascii="Verdana" w:hAnsi="Verdana" w:eastAsia="Verdana"/>
      <w:sz w:val="22"/>
    </w:rPr>
  </w:style>
  <w:style w:type="character" w:styleId="Yiv620471054appleconvertedspace" w:customStyle="1">
    <w:name w:val="yiv620471054apple-converted-space"/>
    <w:qFormat/>
    <w:rPr/>
  </w:style>
  <w:style w:type="character" w:styleId="Ttulo6Char" w:customStyle="1">
    <w:name w:val="Título 6 Char"/>
    <w:qFormat/>
    <w:rPr>
      <w:rFonts w:eastAsia="Tahoma"/>
      <w:b/>
      <w:sz w:val="32"/>
    </w:rPr>
  </w:style>
  <w:style w:type="character" w:styleId="Ttulo7Char" w:customStyle="1">
    <w:name w:val="Título 7 Char"/>
    <w:qFormat/>
    <w:rPr>
      <w:sz w:val="24"/>
    </w:rPr>
  </w:style>
  <w:style w:type="character" w:styleId="TextodebaloChar" w:customStyle="1">
    <w:name w:val="Texto de balão Char"/>
    <w:qFormat/>
    <w:rPr>
      <w:rFonts w:ascii="Tahoma" w:hAnsi="Tahoma" w:eastAsia="Tahoma"/>
      <w:sz w:val="16"/>
    </w:rPr>
  </w:style>
  <w:style w:type="character" w:styleId="Ttulo2Char" w:customStyle="1">
    <w:name w:val="Título 2 Char"/>
    <w:qFormat/>
    <w:rPr>
      <w:rFonts w:ascii="Cambria" w:hAnsi="Cambria" w:eastAsia="Times New Roman"/>
      <w:b/>
      <w:i/>
      <w:sz w:val="28"/>
    </w:rPr>
  </w:style>
  <w:style w:type="character" w:styleId="Fontepargpadro1" w:customStyle="1">
    <w:name w:val="Fonte parág. padrão1"/>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b/>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b/>
      <w:color w:val="000000"/>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2" w:customStyle="1">
    <w:name w:val="WW8Num7z2"/>
    <w:qFormat/>
    <w:rPr>
      <w:rFonts w:ascii="Wingdings" w:hAnsi="Wingdings" w:eastAsia="Wingdings"/>
    </w:rPr>
  </w:style>
  <w:style w:type="character" w:styleId="WW8Num7z1" w:customStyle="1">
    <w:name w:val="WW8Num7z1"/>
    <w:qFormat/>
    <w:rPr>
      <w:rFonts w:ascii="Courier New" w:hAnsi="Courier New" w:eastAsia="Courier New"/>
    </w:rPr>
  </w:style>
  <w:style w:type="character" w:styleId="WW8Num7z0" w:customStyle="1">
    <w:name w:val="WW8Num7z0"/>
    <w:qFormat/>
    <w:rPr>
      <w:rFonts w:ascii="Symbol" w:hAnsi="Symbol" w:eastAsia="Symbol"/>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b/>
      <w:color w:val="000000"/>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semiHidden/>
    <w:unhideWhenUsed/>
    <w:qFormat/>
    <w:rsid w:val="00456abf"/>
    <w:pPr>
      <w:spacing w:lineRule="auto" w:line="240" w:beforeAutospacing="1" w:afterAutospacing="1"/>
    </w:pPr>
    <w:rPr>
      <w:rFonts w:ascii="Times New Roman" w:hAnsi="Times New Roman" w:eastAsia="Times New Roman" w:cs="Times New Roman"/>
      <w:sz w:val="24"/>
      <w:szCs w:val="24"/>
    </w:rPr>
  </w:style>
  <w:style w:type="paragraph" w:styleId="Footnotetext">
    <w:name w:val="footnote text"/>
    <w:basedOn w:val="Normal"/>
    <w:link w:val="TextodenotaderodapChar"/>
    <w:uiPriority w:val="99"/>
    <w:semiHidden/>
    <w:unhideWhenUsed/>
    <w:qFormat/>
    <w:rsid w:val="001b1df6"/>
    <w:pPr>
      <w:spacing w:lineRule="auto" w:line="240" w:before="0" w:after="0"/>
    </w:pPr>
    <w:rPr>
      <w:sz w:val="20"/>
      <w:szCs w:val="20"/>
    </w:rPr>
  </w:style>
  <w:style w:type="paragraph" w:styleId="Notaderodap" w:customStyle="1">
    <w:name w:val="Nota de rodapé"/>
    <w:basedOn w:val="Normal"/>
    <w:pPr/>
    <w:rPr/>
  </w:style>
  <w:style w:type="paragraph" w:styleId="Cabealho">
    <w:name w:val="Cabeçalho"/>
    <w:basedOn w:val="Normal"/>
    <w:pPr/>
    <w:rPr/>
  </w:style>
  <w:style w:type="paragraph" w:styleId="Annotationsubject">
    <w:name w:val="annotation subject"/>
    <w:qFormat/>
    <w:pPr>
      <w:widowControl/>
      <w:suppressAutoHyphens w:val="true"/>
      <w:bidi w:val="0"/>
      <w:jc w:val="left"/>
    </w:pPr>
    <w:rPr>
      <w:rFonts w:ascii="Times New Roman" w:hAnsi="Times New Roman" w:eastAsia="Times New Roman" w:cs=""/>
      <w:b/>
      <w:color w:val="000000"/>
      <w:sz w:val="20"/>
      <w:szCs w:val="22"/>
      <w:lang w:val="pt-BR" w:eastAsia="ar-SA" w:bidi="ar-SA"/>
    </w:rPr>
  </w:style>
  <w:style w:type="paragraph" w:styleId="Textodecomentrio1" w:customStyle="1">
    <w:name w:val="Texto de comentário1"/>
    <w:basedOn w:val="Normal"/>
    <w:qFormat/>
    <w:pPr>
      <w:suppressAutoHyphens w:val="true"/>
    </w:pPr>
    <w:rPr>
      <w:rFonts w:ascii="Times New Roman" w:hAnsi="Times New Roman" w:eastAsia="Times New Roman"/>
      <w:color w:val="000000"/>
      <w:sz w:val="20"/>
      <w:lang w:eastAsia="ar-SA"/>
    </w:rPr>
  </w:style>
  <w:style w:type="paragraph" w:styleId="Estilo" w:customStyle="1">
    <w:name w:val="Estilo"/>
    <w:qFormat/>
    <w:pPr>
      <w:widowControl w:val="false"/>
      <w:suppressAutoHyphens w:val="true"/>
      <w:bidi w:val="0"/>
      <w:jc w:val="left"/>
    </w:pPr>
    <w:rPr>
      <w:rFonts w:ascii="Arial" w:hAnsi="Arial" w:eastAsia="Arial" w:cs="Liberation Serif"/>
      <w:color w:val="000000"/>
      <w:sz w:val="24"/>
      <w:szCs w:val="24"/>
      <w:lang w:val="pt-BR" w:eastAsia="ar-SA" w:bidi="ar-SA"/>
    </w:rPr>
  </w:style>
  <w:style w:type="paragraph" w:styleId="Recuodecorpodetexto22" w:customStyle="1">
    <w:name w:val="Recuo de corpo de texto 22"/>
    <w:basedOn w:val="Normal"/>
    <w:qFormat/>
    <w:pPr>
      <w:suppressAutoHyphens w:val="true"/>
      <w:spacing w:lineRule="auto" w:line="480" w:before="0" w:after="120"/>
      <w:ind w:left="283" w:hanging="0"/>
    </w:pPr>
    <w:rPr>
      <w:rFonts w:ascii="Times New Roman" w:hAnsi="Times New Roman" w:eastAsia="Times New Roman"/>
      <w:color w:val="000000"/>
      <w:sz w:val="20"/>
      <w:lang w:eastAsia="ar-SA"/>
    </w:rPr>
  </w:style>
  <w:style w:type="paragraph" w:styleId="BodyText2">
    <w:name w:val="Body Text 2"/>
    <w:basedOn w:val="Normal"/>
    <w:qFormat/>
    <w:pPr>
      <w:suppressAutoHyphens w:val="true"/>
      <w:ind w:firstLine="1701"/>
      <w:jc w:val="both"/>
    </w:pPr>
    <w:rPr>
      <w:rFonts w:ascii="Bookman Old Style" w:hAnsi="Bookman Old Style" w:eastAsia="Bookman Old Style"/>
      <w:color w:val="000000"/>
      <w:sz w:val="28"/>
      <w:lang w:eastAsia="ar-SA"/>
    </w:rPr>
  </w:style>
  <w:style w:type="paragraph" w:styleId="Artigo" w:customStyle="1">
    <w:name w:val="artigo"/>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 w:customStyle="1">
    <w:name w:val="estilo1"/>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0" w:customStyle="1">
    <w:name w:val="estilo10"/>
    <w:basedOn w:val="Normal"/>
    <w:qFormat/>
    <w:pPr>
      <w:suppressAutoHyphens w:val="true"/>
      <w:spacing w:before="280" w:after="280"/>
    </w:pPr>
    <w:rPr>
      <w:rFonts w:ascii="Times New Roman" w:hAnsi="Times New Roman" w:eastAsia="Times New Roman"/>
      <w:color w:val="000000"/>
      <w:sz w:val="24"/>
      <w:lang w:eastAsia="ar-SA"/>
    </w:rPr>
  </w:style>
  <w:style w:type="paragraph" w:styleId="Recuodecorpodetexto21" w:customStyle="1">
    <w:name w:val="Recuo de corpo de texto 21"/>
    <w:basedOn w:val="Normal"/>
    <w:qFormat/>
    <w:pPr>
      <w:suppressAutoHyphens w:val="true"/>
      <w:spacing w:lineRule="auto" w:line="480" w:before="0" w:after="120"/>
      <w:ind w:left="283" w:hanging="0"/>
    </w:pPr>
    <w:rPr>
      <w:rFonts w:ascii="Times New Roman" w:hAnsi="Times New Roman" w:eastAsia="Times New Roman"/>
      <w:color w:val="000000"/>
      <w:sz w:val="24"/>
      <w:lang w:eastAsia="ar-SA"/>
    </w:rPr>
  </w:style>
  <w:style w:type="paragraph" w:styleId="Default" w:customStyle="1">
    <w:name w:val="Default"/>
    <w:qFormat/>
    <w:pPr>
      <w:widowControl/>
      <w:suppressAutoHyphens w:val="true"/>
      <w:bidi w:val="0"/>
      <w:jc w:val="left"/>
    </w:pPr>
    <w:rPr>
      <w:rFonts w:ascii="Georgia" w:hAnsi="Georgia" w:eastAsia="Georgia" w:cs="Liberation Serif"/>
      <w:color w:val="000000"/>
      <w:sz w:val="24"/>
      <w:szCs w:val="24"/>
      <w:lang w:val="pt-BR" w:eastAsia="ar-SA" w:bidi="ar-SA"/>
    </w:rPr>
  </w:style>
  <w:style w:type="paragraph" w:styleId="Yiv620471054msonormal" w:customStyle="1">
    <w:name w:val="yiv620471054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Yiv868846938msonormal" w:customStyle="1">
    <w:name w:val="yiv868846938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BalloonText">
    <w:name w:val="Balloon Text"/>
    <w:basedOn w:val="Normal"/>
    <w:qFormat/>
    <w:pPr>
      <w:suppressAutoHyphens w:val="true"/>
    </w:pPr>
    <w:rPr>
      <w:rFonts w:ascii="Tahoma" w:hAnsi="Tahoma" w:eastAsia="Tahoma"/>
      <w:color w:val="000000"/>
      <w:sz w:val="16"/>
      <w:lang w:eastAsia="ar-SA"/>
    </w:rPr>
  </w:style>
  <w:style w:type="paragraph" w:styleId="Msonormalcxsplast" w:customStyle="1">
    <w:name w:val="msonormalcxsplast"/>
    <w:basedOn w:val="Normal"/>
    <w:qFormat/>
    <w:pPr>
      <w:suppressAutoHyphens w:val="true"/>
      <w:spacing w:before="280" w:after="280"/>
    </w:pPr>
    <w:rPr>
      <w:rFonts w:ascii="Times New Roman" w:hAnsi="Times New Roman" w:eastAsia="Times New Roman"/>
      <w:color w:val="000000"/>
      <w:sz w:val="24"/>
      <w:lang w:eastAsia="ar-SA"/>
    </w:rPr>
  </w:style>
  <w:style w:type="paragraph" w:styleId="ListParagraph">
    <w:name w:val="List Paragraph"/>
    <w:basedOn w:val="Normal"/>
    <w:qFormat/>
    <w:pPr>
      <w:suppressAutoHyphens w:val="true"/>
      <w:ind w:left="708" w:hanging="0"/>
    </w:pPr>
    <w:rPr>
      <w:rFonts w:ascii="Calibri" w:hAnsi="Calibri" w:eastAsia="Calibri"/>
      <w:color w:val="000000"/>
      <w:lang w:eastAsia="ar-SA"/>
    </w:rPr>
  </w:style>
  <w:style w:type="paragraph" w:styleId="Msonormalcxspmiddle" w:customStyle="1">
    <w:name w:val="msonormalcxspmiddle"/>
    <w:basedOn w:val="Normal"/>
    <w:qFormat/>
    <w:pPr>
      <w:suppressAutoHyphens w:val="true"/>
      <w:spacing w:before="280" w:after="280"/>
    </w:pPr>
    <w:rPr>
      <w:rFonts w:ascii="Times New Roman" w:hAnsi="Times New Roman" w:eastAsia="Times New Roman"/>
      <w:color w:val="000000"/>
      <w:sz w:val="24"/>
      <w:lang w:eastAsia="ar-SA"/>
    </w:rPr>
  </w:style>
  <w:style w:type="paragraph" w:styleId="Western" w:customStyle="1">
    <w:name w:val="western"/>
    <w:basedOn w:val="Normal"/>
    <w:qFormat/>
    <w:pPr>
      <w:suppressAutoHyphens w:val="true"/>
      <w:spacing w:before="280" w:after="280"/>
    </w:pPr>
    <w:rPr>
      <w:rFonts w:ascii="Times New Roman" w:hAnsi="Times New Roman" w:eastAsia="Times New Roman"/>
      <w:color w:val="000000"/>
      <w:sz w:val="24"/>
      <w:lang w:eastAsia="ar-SA"/>
    </w:rPr>
  </w:style>
  <w:style w:type="paragraph" w:styleId="WWLegenda" w:customStyle="1">
    <w:name w:val="WW-Legenda"/>
    <w:basedOn w:val="Normal"/>
    <w:qFormat/>
    <w:pPr>
      <w:widowControl w:val="false"/>
      <w:suppressAutoHyphens w:val="true"/>
      <w:jc w:val="both"/>
    </w:pPr>
    <w:rPr>
      <w:rFonts w:ascii="Times New Roman" w:hAnsi="Times New Roman" w:eastAsia="Tahoma"/>
      <w:b/>
      <w:color w:val="000000"/>
      <w:sz w:val="24"/>
      <w:lang w:eastAsia="ar-SA"/>
    </w:rPr>
  </w:style>
  <w:style w:type="paragraph" w:styleId="Ttulo1" w:customStyle="1">
    <w:name w:val="Título1"/>
    <w:basedOn w:val="Normal"/>
    <w:qFormat/>
    <w:pPr>
      <w:keepNext/>
      <w:suppressAutoHyphens w:val="true"/>
      <w:spacing w:before="240" w:after="120"/>
    </w:pPr>
    <w:rPr>
      <w:rFonts w:ascii="Liberation Sans" w:hAnsi="Liberation Sans" w:eastAsia="Mangal"/>
      <w:color w:val="000000"/>
      <w:sz w:val="28"/>
      <w:lang w:eastAsia="ar-SA"/>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190C-892E-4E6F-A70B-42CFC6A9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Application>LibreOffice/5.0.6.3$Windows_x86 LibreOffice_project/490fc03b25318460cfc54456516ea2519c11d1aa</Application>
  <Paragraphs>791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2016-09-22T21:23:00Z</dcterms:created>
  <dc:creator>antonio.monteiro</dc:creator>
  <dc:language>pt-BR</dc:language>
  <cp:lastPrinted>2016-11-29T11:21:49Z</cp:lastPrinted>
  <dcterms:modified xsi:type="dcterms:W3CDTF">2016-11-29T11:28:34Z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